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0" w:rsidRPr="00D630C6" w:rsidRDefault="001C25A0" w:rsidP="001C25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0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проведении отбора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предложений </w:t>
      </w:r>
      <w:r w:rsidRPr="006F0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предоставление </w:t>
      </w:r>
      <w:r w:rsidRPr="00D6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на возмещени</w:t>
      </w:r>
      <w:r w:rsidR="00FD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6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затрат социально ориентированных некоммерческих организаций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D6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Озерского городского округа</w:t>
      </w:r>
    </w:p>
    <w:p w:rsidR="001C25A0" w:rsidRDefault="001C25A0" w:rsidP="001C25A0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0A36" w:rsidRPr="006F0083" w:rsidRDefault="00B80A36" w:rsidP="001C25A0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Озерского городского округа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объявляет о начале конкурсного отбора на предоставление субсидий социально ориентированным некоммерческим организациям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Озерского городского округа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возмещения затрат социально ориентированных некоммерческих организаций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5A0" w:rsidRDefault="001C25A0" w:rsidP="00347F5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отбора предложений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Предоставление субсидий </w:t>
      </w:r>
      <w:r w:rsidRPr="00B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</w:t>
      </w:r>
      <w:r w:rsidR="00FD37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социально ориентированных некоммерческих организаций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5A0" w:rsidRPr="006F0083" w:rsidRDefault="001C25A0" w:rsidP="00347F5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отбора предложений</w:t>
      </w:r>
      <w:r w:rsidRPr="006F0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Озерского городского округа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</w:p>
    <w:p w:rsidR="001C25A0" w:rsidRPr="006F0083" w:rsidRDefault="001C25A0" w:rsidP="00347F5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распределяемых субсидий: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4 200 000,00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C25A0" w:rsidRDefault="001C25A0" w:rsidP="00347F59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Озерского городского округа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социальной защиты населения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25A0" w:rsidRDefault="001C25A0" w:rsidP="001C2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87" w:rsidRPr="00680D87" w:rsidRDefault="00680D87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конкурсного отбора с указанием даты, времени начала и окончания приема заявок:</w:t>
      </w:r>
    </w:p>
    <w:p w:rsidR="00680D87" w:rsidRPr="00680D87" w:rsidRDefault="00680D87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заявок: 29.01.2024 г. </w:t>
      </w:r>
    </w:p>
    <w:p w:rsidR="00680D87" w:rsidRPr="00680D87" w:rsidRDefault="00680D87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приема заявок: 07.02.2024 г. </w:t>
      </w:r>
    </w:p>
    <w:p w:rsidR="00680D87" w:rsidRDefault="00680D87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и окончания приема заявок: </w:t>
      </w:r>
    </w:p>
    <w:p w:rsidR="00680D87" w:rsidRDefault="00680D87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пн. – чт.: с 09:00 до 12:00, с 14:15 до 17:00; </w:t>
      </w:r>
    </w:p>
    <w:p w:rsidR="00680D87" w:rsidRDefault="00680D87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пт.: с 09:00 до 12:00, с 14:15 до 15:45.</w:t>
      </w:r>
    </w:p>
    <w:p w:rsidR="00FB67DB" w:rsidRDefault="00FB67DB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87" w:rsidRPr="004342BE" w:rsidRDefault="004342BE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 нахождения, почтовый адрес, адрес электронной почты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УСЗН:</w:t>
      </w:r>
    </w:p>
    <w:p w:rsidR="004342BE" w:rsidRPr="004342BE" w:rsidRDefault="004342BE" w:rsidP="00B80A36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Управление социальной защиты населения администрации Озерского городского округа Челябинской области.</w:t>
      </w:r>
    </w:p>
    <w:p w:rsidR="004342BE" w:rsidRPr="004342BE" w:rsidRDefault="004342BE" w:rsidP="00B80A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 для направления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4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456781,</w:t>
      </w:r>
      <w:r w:rsidR="001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Челябинская область, </w:t>
      </w:r>
      <w:r w:rsidRPr="00434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Озерск, ул. Космонавтов, 20.</w:t>
      </w:r>
    </w:p>
    <w:p w:rsidR="004342BE" w:rsidRPr="00FF36F5" w:rsidRDefault="004342BE" w:rsidP="00B80A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</w:t>
      </w:r>
      <w:r w:rsidRPr="0043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FF36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ksz</w:t>
        </w:r>
        <w:r w:rsidRPr="00FF36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FF36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ozerskadm</w:t>
        </w:r>
        <w:r w:rsidRPr="00FF36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FF36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</w:p>
    <w:p w:rsidR="004342BE" w:rsidRDefault="004342BE" w:rsidP="00B80A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контактного телефона</w:t>
      </w:r>
      <w:r w:rsidRPr="0010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(35130)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5-43-16.</w:t>
      </w:r>
    </w:p>
    <w:p w:rsidR="001C25A0" w:rsidRPr="006F0083" w:rsidRDefault="001C25A0" w:rsidP="008040DF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7E" w:rsidRPr="00005A7E" w:rsidRDefault="00005A7E" w:rsidP="00005A7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отбора:</w:t>
      </w:r>
    </w:p>
    <w:p w:rsidR="001C25A0" w:rsidRPr="00FF36F5" w:rsidRDefault="003863D9" w:rsidP="00E144C8">
      <w:pPr>
        <w:spacing w:after="0" w:line="276" w:lineRule="auto"/>
        <w:ind w:firstLine="0"/>
        <w:jc w:val="both"/>
        <w:rPr>
          <w:rFonts w:ascii="Times New Roman" w:hAnsi="Times New Roman" w:cs="Times New Roman"/>
        </w:rPr>
      </w:pPr>
      <w:r w:rsidRPr="003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Озерского городского округа в разделе </w:t>
      </w:r>
      <w:r w:rsid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DB9" w:rsidRP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на предоставление субсидий</w:t>
      </w:r>
      <w:r w:rsidR="00DD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</w:t>
      </w:r>
      <w:r w:rsidR="00C91DB9" w:rsidRP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ориентированны</w:t>
      </w:r>
      <w:r w:rsidR="007D4F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91DB9" w:rsidRP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</w:t>
      </w:r>
      <w:r w:rsidR="007D4F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91DB9" w:rsidRP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7D4F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91DB9" w:rsidRP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Озерского городского округа Челябинской области на финансовое обеспечение затрат на осуществление деятельности по реализации социально значимых программ (проектов)</w:t>
      </w:r>
      <w:r w:rsid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1DB9" w:rsidRPr="00C9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B9" w:rsidRPr="00FF36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C91DB9" w:rsidRPr="00FF36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http://www.ozerskadm.ru/about/unit/social/konkursnyy-otbor-na-predostavlenie-subsidiy-sotsialno-orientirovannym-nekommercheskim-organizatsiyam.php?clear_cache=Y</w:t>
        </w:r>
      </w:hyperlink>
      <w:r w:rsidR="00C91DB9" w:rsidRPr="00FF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</w:t>
      </w:r>
      <w:r w:rsidR="00E144C8" w:rsidRPr="00FF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бюджетной системы Российской Федерации </w:t>
      </w:r>
      <w:r w:rsidR="00E144C8" w:rsidRPr="00FF36F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7" w:history="1">
        <w:r w:rsidR="001C25A0" w:rsidRPr="00FF36F5">
          <w:rPr>
            <w:rStyle w:val="a3"/>
            <w:rFonts w:ascii="Times New Roman" w:hAnsi="Times New Roman" w:cs="Times New Roman"/>
            <w:color w:val="auto"/>
            <w:sz w:val="24"/>
          </w:rPr>
          <w:t>http://budget.gov.ru/</w:t>
        </w:r>
      </w:hyperlink>
      <w:r w:rsidR="00E144C8" w:rsidRPr="00FF36F5">
        <w:rPr>
          <w:rFonts w:ascii="Times New Roman" w:hAnsi="Times New Roman" w:cs="Times New Roman"/>
          <w:sz w:val="24"/>
        </w:rPr>
        <w:t>).</w:t>
      </w:r>
      <w:r w:rsidR="001C25A0" w:rsidRPr="00FF36F5">
        <w:rPr>
          <w:rFonts w:ascii="Times New Roman" w:hAnsi="Times New Roman" w:cs="Times New Roman"/>
          <w:sz w:val="24"/>
        </w:rPr>
        <w:t xml:space="preserve"> </w:t>
      </w:r>
    </w:p>
    <w:p w:rsidR="001C25A0" w:rsidRPr="00FF36F5" w:rsidRDefault="001C25A0" w:rsidP="001C25A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C" w:rsidRDefault="001A25DC" w:rsidP="001C25A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A0" w:rsidRPr="0039493E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содержанию и форме 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отбора предложений</w:t>
      </w:r>
      <w:r w:rsidRPr="0039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критерии оценки заявок</w:t>
      </w:r>
      <w:r w:rsidRPr="0039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C25A0" w:rsidRPr="006F0083" w:rsidRDefault="001C25A0" w:rsidP="001C25A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A0" w:rsidRPr="00734322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Субсидии предоставляются организациям, соответствующим следующим критериям: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деятельности, предусмотренные </w:t>
      </w: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статьей 31.1 Федерального закона от 12.01.1996 № 7-ФЗ «О некоммерческих организациях»;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организация является юридическим лицом и на день извещения о проведении запроса предложен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ий осуществляет в соответствии </w:t>
      </w: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учредительными документами деятельность, направленную на решение социальных проблем, развитие гражданского общества, а также виды деятельности, предусмотренные статьей 31.1 Федерального закона                             </w:t>
      </w:r>
      <w:proofErr w:type="gramStart"/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«</w:t>
      </w:r>
      <w:proofErr w:type="gramEnd"/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некоммерческих организациях» </w:t>
      </w:r>
      <w:r w:rsidRPr="00DE6A39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не менее 5 лет,</w:t>
      </w: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предшествующих дате подачи заявки на получение субсидии, на территории Озерского городского округа;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организация зарегистрирована и осуществляет деятельность на территории Озерского городского округа;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организация своевременно представляет достоверные отчеты по ранее полученным из муниципального бюджета средствам;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в составе учредителей организации отсутствуют политические партии, в уставе организации отсутствуют упоминания наименования политической партии;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организация на первое число месяца, предшествующего месяцу, в котором подается предложение, должна соответствовать следующим требованиям: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организации должна отсутствовать просроченная задолженность по возврату в бюджет Озерского городского округа Челябинской области субсидий, бюджетных инвестиций, предоставленных, в том числе в соответствии с иными правовыми актами Озерского городского округа Челябинской области, и иная просроченная (неурегулированная) задолженность по денежным обязательствам перед бюджетом Озерского городского округа;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25A0" w:rsidRPr="00DE6A39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</w: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1C25A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не должна получать средства из бюджета Озерского городского округа в соответствии с иными правовыми актами Озерского городского округа на цели, указанные в пункте 4 Порядка.</w:t>
      </w:r>
    </w:p>
    <w:p w:rsidR="001C25A0" w:rsidRPr="00734322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Заявка на участие в конкурсном отборе должна включать: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копии учредительных документов организации (копии заверяются руководителем организации), включая копию устава организации со всеми изменениями;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выписка из Единого государственного реестра юридических лиц, выданную не позднее одного месяца до даты подачи заявки на получение субсидии;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бухгалтерская отчетность по форме № 1 и № 2 за предыдущий отчетный финансовый период;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справка из банка об отсутствии задолженности по расчетному счету, выданную не позднее одного месяца до даты подачи заявки на получение субсидии; 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дате подачи заявки;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смета доходов и расходов;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справка о численности участников (членов) организации на момент подачи заявки;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информация, подтверждающая опыт реализации мероприятий, направленных на социальную адаптацию инвалидов, ветеранов (пенсионеров), формирование и пропаганду здорового образа жизни, организацию культурного досуга инвалидов, ветеранов (пенсионеров), подготовку и проведение праздничных и памятных мероприятий, участие в спортивных мероприятиях, соревнованиях, организацию и проведение мероприятий, направленных</w:t>
      </w:r>
      <w:r w:rsidR="004F2B23" w:rsidRPr="00EC71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</w:t>
      </w:r>
      <w:proofErr w:type="spellStart"/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военно</w:t>
      </w:r>
      <w:proofErr w:type="spellEnd"/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патриотическое воспитание, правовую защиту прав и свобод инвалидов, ветеранов (пенсионеров) за предшествующий финансовый год;</w:t>
      </w: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6A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документы, подтверждающие фактически произведенные затраты за предыдущий отчетный финансовый период на цели, указанные в пункте 4 Порядка.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план работы социально ориентированной некоммерческой организаций с указанием планируемых к осуществлению работ (услуг), объема средств, необходимых для финансового обеспечения указанных работ (услуг);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документы, содержащие сведения о том, что на первое число месяца, предшествующего дате подачи заявки: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в отношении нее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отсутствует просроче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задолженность по возврату </w:t>
      </w: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Озерского городского округа субсидий, бюджетных инвестиций, предоставленных, и иная просроченная (неурегулированная) задолженность по денежным обязательствам перед бюджетом Озерского городского округа;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перечень государств </w:t>
      </w: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находится в перечне организаций и физических </w:t>
      </w:r>
      <w:proofErr w:type="gramStart"/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  </w:t>
      </w:r>
      <w:proofErr w:type="gramEnd"/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получает средства из бюджета Озерского городского округа на цели, установленные пунктом 4 Порядка;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согласия: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публикацию (размещение) в информационно-телекоммуникационной сети Интернет информации об организации, о подаваемом организацией запросе, иной информации об организации, связанной с запросом предложений;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в отношении организации проверки УСЗН соблюдения целей, условий и порядка предоставления субсидии.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входящие в состав заявки на участие в отборе, должны быть заверены личной подписью руководителя организации или представителя организации с приложением соответствующей доверенности, заверенной печатью (при наличии) организации.</w:t>
      </w:r>
    </w:p>
    <w:p w:rsidR="001C25A0" w:rsidRPr="00DE6A39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информация (в том числе документы), содержащиеся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отборе, содержит персональные данные, в состав в заявки на участие в отборе должно быть включено согласие субъектов (руководителя организации, главного бухгалтера, руководителя программы (проекта) этих данных на обработку их персональных данных.</w:t>
      </w:r>
    </w:p>
    <w:p w:rsidR="001C25A0" w:rsidRPr="00BB729A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отборе представляется организацией на бумажном носителе и в электронной форме.</w:t>
      </w:r>
    </w:p>
    <w:p w:rsidR="001C25A0" w:rsidRPr="006F0083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реализации программы (проекта), на которую запрашивается субсидия, - со дня заключения соглашения до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</w:t>
      </w:r>
      <w:r w:rsidRPr="006F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C25A0" w:rsidRPr="00C73BF5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3B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 Правила рассмотрения и оценки заявок участников отбора:</w:t>
      </w:r>
    </w:p>
    <w:p w:rsidR="001C25A0" w:rsidRPr="00C95DFC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31"/>
      <w:r w:rsidRPr="00C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организация может подать только одну в заявку на участие в отборе;</w:t>
      </w:r>
    </w:p>
    <w:p w:rsidR="001C25A0" w:rsidRPr="00C95DFC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отборе может быть отозвана до окончания срока приема путем направления в УСЗН соответствующего обращения организации. Отозванные заявки участников отбора не учитываются при определении количества заявок на участие в отборе, представленных на участие;</w:t>
      </w:r>
    </w:p>
    <w:p w:rsidR="001C25A0" w:rsidRPr="00C95DFC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УСЗН в течение 5 рабочих дней со дня окончания приема заявок на участие в отборе осуществляет их проверку на наличие следующих оснований для отклонения:</w:t>
      </w:r>
    </w:p>
    <w:p w:rsidR="001C25A0" w:rsidRPr="00C95DFC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(представление не в полном объеме) документов, указанных в пункте 8 настоящего Порядка;</w:t>
      </w:r>
    </w:p>
    <w:p w:rsidR="001C25A0" w:rsidRPr="00C95DFC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недостоверности представленной организацией информации, содержащейся в документах, указанных в пункте 8 настоящего Порядка;</w:t>
      </w:r>
    </w:p>
    <w:p w:rsidR="001C25A0" w:rsidRPr="00C95DFC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представления заявок, указанных в объявлении о проведении отбора;</w:t>
      </w:r>
    </w:p>
    <w:p w:rsidR="001C25A0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несоответствие организации критериям, указанным в пункте 10 настоящего Порядка.</w:t>
      </w:r>
    </w:p>
    <w:p w:rsidR="001C25A0" w:rsidRPr="00C73BF5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оснований для отклонения заявки, организация допускается к участию в отборе.</w:t>
      </w:r>
    </w:p>
    <w:p w:rsidR="001C25A0" w:rsidRPr="00C73BF5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оснований для отклонения заявки на участие в отборе, организация не допускается к участию в отборе.</w:t>
      </w:r>
    </w:p>
    <w:p w:rsidR="001C25A0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проверки заявок на участие в отборе УСЗН формирует и утверждает список организаций, допущенных к участию в отборе, и список организаций, не допущенных к участию в отборе.</w:t>
      </w:r>
    </w:p>
    <w:p w:rsidR="001C25A0" w:rsidRPr="00817DA5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7D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УСЗН не позднее 5 рабочих дней со дня утверждения списка организаций, не допущенных к участию в отборе заявок, направляет таким организациям уведомление об отклонении заявки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</w:t>
      </w:r>
      <w:r w:rsidRPr="00FC0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указанием причин отклонения</w:t>
      </w:r>
      <w:r w:rsidRPr="00817DA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C25A0" w:rsidRPr="00FC0D56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sub_1032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17D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bookmarkEnd w:id="1"/>
      <w:r w:rsidRPr="00FC0D5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едином портале (http://budget.gov.ru/) и на официальном сайте администрации Озерского городского округа (http://www.ozerskadm.ru) в течение 5 рабочих дней со дня утверждения списка организаций, допущенных к участию в отборе и списка организаций, не допущенных к участию в отборе, размещается следующая информация:</w:t>
      </w:r>
    </w:p>
    <w:p w:rsidR="001C25A0" w:rsidRPr="00FC0D56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0D5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дата, время и место проведения рассмотрения заявок;</w:t>
      </w:r>
    </w:p>
    <w:p w:rsidR="001C25A0" w:rsidRPr="00FC0D56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0D5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об организациях, заявки которых были рассмотрены;</w:t>
      </w:r>
    </w:p>
    <w:p w:rsidR="001C25A0" w:rsidRPr="00FC0D56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0D5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об организациях, заявки которых были отклонены, с указанием причин их отклонения;</w:t>
      </w:r>
    </w:p>
    <w:p w:rsidR="001C25A0" w:rsidRPr="00FC0D56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0D5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об организациях, допущенных к участию в запросе заявок на участие в отборе.</w:t>
      </w: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0D5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протоколе указывается мотивированное заключение, размер предполагаемого объема финансовых расходов (в случае принятия решения о предоставлении субсидии) в соответствии с представленными организациями документами.</w:t>
      </w:r>
    </w:p>
    <w:p w:rsidR="001C25A0" w:rsidRPr="00C73BF5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Pr="00C73B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Основанием для отказа в предоставлении субсидии является: </w:t>
      </w:r>
    </w:p>
    <w:p w:rsidR="001C25A0" w:rsidRPr="00C73BF5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BF5">
        <w:rPr>
          <w:rFonts w:ascii="Times New Roman" w:eastAsia="Times New Roman" w:hAnsi="Times New Roman" w:cs="Times New Roman"/>
          <w:sz w:val="24"/>
          <w:szCs w:val="28"/>
          <w:lang w:eastAsia="ru-RU"/>
        </w:rPr>
        <w:t>1) несоответствие представленных получателем субсидии документов требованиям, определенным пунктом 8 настоящего Поря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дка,</w:t>
      </w:r>
      <w:r w:rsidRPr="00C73B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непредставление (предоставление не в полном объеме) указанных документов;</w:t>
      </w:r>
    </w:p>
    <w:p w:rsidR="001C25A0" w:rsidRPr="00C73BF5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BF5">
        <w:rPr>
          <w:rFonts w:ascii="Times New Roman" w:eastAsia="Times New Roman" w:hAnsi="Times New Roman" w:cs="Times New Roman"/>
          <w:sz w:val="24"/>
          <w:szCs w:val="28"/>
          <w:lang w:eastAsia="ru-RU"/>
        </w:rPr>
        <w:t>2) недостоверность представленной получателем субсидии информации;</w:t>
      </w:r>
    </w:p>
    <w:p w:rsidR="001C25A0" w:rsidRPr="00C73BF5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BF5">
        <w:rPr>
          <w:rFonts w:ascii="Times New Roman" w:eastAsia="Times New Roman" w:hAnsi="Times New Roman" w:cs="Times New Roman"/>
          <w:sz w:val="24"/>
          <w:szCs w:val="28"/>
          <w:lang w:eastAsia="ru-RU"/>
        </w:rPr>
        <w:t>3) несоответствие критериям, установленным пунктом 10 настоящего Порядка;</w:t>
      </w:r>
    </w:p>
    <w:p w:rsidR="001C25A0" w:rsidRPr="00C73BF5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BF5">
        <w:rPr>
          <w:rFonts w:ascii="Times New Roman" w:eastAsia="Times New Roman" w:hAnsi="Times New Roman" w:cs="Times New Roman"/>
          <w:sz w:val="24"/>
          <w:szCs w:val="28"/>
          <w:lang w:eastAsia="ru-RU"/>
        </w:rPr>
        <w:t>4) отсутствие денежных средств в бюджете Озерского городского округа в текущем финансовом году;</w:t>
      </w: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BF5">
        <w:rPr>
          <w:rFonts w:ascii="Times New Roman" w:eastAsia="Times New Roman" w:hAnsi="Times New Roman" w:cs="Times New Roman"/>
          <w:sz w:val="24"/>
          <w:szCs w:val="28"/>
          <w:lang w:eastAsia="ru-RU"/>
        </w:rPr>
        <w:t>5) подача участником отбора предложения после даты и (или) времени, определенных для подачи предложений.</w:t>
      </w: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817D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 течение 5 рабочих дней между УСЗН и получателем субсидии заключается соглашение, которое является основанием для предоставления субсидии. </w:t>
      </w: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10.</w:t>
      </w:r>
      <w:r w:rsidRPr="00CE1E72">
        <w:t xml:space="preserve"> </w:t>
      </w:r>
      <w:r w:rsidRPr="00CE1E7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Размер субсидий организациям определяется в соответствии с объемом выделенных денежных средств из бюджета Озерского городского округа.</w:t>
      </w:r>
    </w:p>
    <w:p w:rsidR="001C25A0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Приложения:</w:t>
      </w:r>
    </w:p>
    <w:p w:rsidR="00D6374D" w:rsidRDefault="00D6374D" w:rsidP="00D637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374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 на участие в отборе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6374D" w:rsidRDefault="00D6374D" w:rsidP="00D637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Расчет сумм.</w:t>
      </w:r>
    </w:p>
    <w:p w:rsidR="00D6374D" w:rsidRPr="00D6374D" w:rsidRDefault="00D6374D" w:rsidP="007325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37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C25A0" w:rsidRDefault="001C25A0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6374D" w:rsidRDefault="00D6374D" w:rsidP="001C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Заявка на участие в отборе</w:t>
      </w:r>
      <w:r w:rsidRPr="007826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26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социально ориентированных некоммерческих организаций </w:t>
      </w:r>
    </w:p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26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предоставление субсидии на возмещение затрат в 202___ году</w:t>
      </w:r>
    </w:p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</w:tblGrid>
      <w:tr w:rsidR="001C25A0" w:rsidRPr="00782600" w:rsidTr="009B7B4C"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</w:tbl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8260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(полное наименование социально ориентированной некоммерческой организации)</w:t>
      </w:r>
    </w:p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4453"/>
      </w:tblGrid>
      <w:tr w:rsidR="001C25A0" w:rsidRPr="00782600" w:rsidTr="009B7B4C"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spacing w:after="0" w:line="240" w:lineRule="auto"/>
              <w:ind w:left="-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Сокращенное наименование </w:t>
            </w:r>
            <w:r w:rsidRPr="007826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социально ориентированной некоммерческой организации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autoSpaceDE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 (место нахождения) </w:t>
            </w:r>
            <w:r w:rsidRPr="007826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социально ориентированной некоммерческой организации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Сайт в сети Интернет 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членов </w:t>
            </w:r>
            <w:r w:rsidRPr="007826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социально ориентированной некоммерческой организации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 деятельности </w:t>
            </w:r>
            <w:r w:rsidRPr="007826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социально ориентированной некоммерческой организации на территории Озерского городского округа Челябинской области</w:t>
            </w:r>
          </w:p>
        </w:tc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</w:tbl>
    <w:p w:rsidR="001C25A0" w:rsidRPr="00782600" w:rsidRDefault="001C25A0" w:rsidP="001C25A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</w:tblGrid>
      <w:tr w:rsidR="001C25A0" w:rsidRPr="00782600" w:rsidTr="009B7B4C"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Информация о видах деятельности, осуществляемых </w:t>
            </w:r>
            <w:r w:rsidRPr="007826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социально ориентированной некоммерческой организации</w:t>
            </w:r>
          </w:p>
        </w:tc>
      </w:tr>
      <w:tr w:rsidR="001C25A0" w:rsidRPr="00782600" w:rsidTr="009B7B4C">
        <w:tc>
          <w:tcPr>
            <w:tcW w:w="9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</w:tbl>
    <w:p w:rsidR="001C25A0" w:rsidRPr="00782600" w:rsidRDefault="001C25A0" w:rsidP="001C25A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679"/>
      </w:tblGrid>
      <w:tr w:rsidR="001C25A0" w:rsidRPr="00782600" w:rsidTr="009B7B4C"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о мероприятиях, представляемых в составе заявки на участие в отборе</w:t>
            </w:r>
          </w:p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C25A0" w:rsidRPr="00782600" w:rsidTr="009B7B4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Запрашиваемый размер субсидии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софинансирования</w:t>
            </w:r>
            <w:proofErr w:type="spellEnd"/>
            <w:r w:rsidRPr="00782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мероприятий (не менее 5% от общей суммы расходов на проведение мероприятий)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</w:tbl>
    <w:p w:rsidR="001C25A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7A82" w:rsidRDefault="00FC7A8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7A82" w:rsidRDefault="00FC7A8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7A82" w:rsidRDefault="00FC7A8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42B2" w:rsidRPr="000E0ADB" w:rsidRDefault="00EE42B2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Расчет сумм</w:t>
      </w:r>
    </w:p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992"/>
        <w:gridCol w:w="2127"/>
      </w:tblGrid>
      <w:tr w:rsidR="001C25A0" w:rsidRPr="00782600" w:rsidTr="009B7B4C">
        <w:trPr>
          <w:trHeight w:val="459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5A0" w:rsidRPr="00782600" w:rsidRDefault="001C25A0" w:rsidP="009B7B4C">
            <w:pPr>
              <w:spacing w:after="0" w:line="240" w:lineRule="auto"/>
              <w:ind w:left="-12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Планируемые к проведению мероприятия  </w:t>
            </w:r>
          </w:p>
        </w:tc>
      </w:tr>
      <w:tr w:rsidR="001C25A0" w:rsidRPr="00782600" w:rsidTr="009B7B4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826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Pr="007826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Наименование</w:t>
            </w:r>
            <w:r w:rsidRPr="0078260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планируемого</w:t>
            </w:r>
            <w:r w:rsidRPr="0078260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мероприятия</w:t>
            </w:r>
            <w:r w:rsidRPr="0078260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                             </w:t>
            </w: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(краткое</w:t>
            </w:r>
            <w:r w:rsidRPr="0078260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изложение)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Количество</w:t>
            </w:r>
          </w:p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планируемых участников</w:t>
            </w:r>
            <w:r w:rsidRPr="0078260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Сумма</w:t>
            </w:r>
            <w:r w:rsidRPr="0078260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</w:p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(руб.)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Сумма</w:t>
            </w:r>
            <w:r w:rsidRPr="0078260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proofErr w:type="spellStart"/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софинансирования</w:t>
            </w:r>
            <w:proofErr w:type="spellEnd"/>
          </w:p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82600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>(руб.)</w:t>
            </w:r>
          </w:p>
        </w:tc>
      </w:tr>
      <w:tr w:rsidR="001C25A0" w:rsidRPr="00782600" w:rsidTr="009B7B4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5A0" w:rsidRPr="00782600" w:rsidTr="009B7B4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A0" w:rsidRPr="00782600" w:rsidRDefault="001C25A0" w:rsidP="009B7B4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1C25A0" w:rsidRPr="00782600" w:rsidRDefault="001C25A0" w:rsidP="001C25A0">
      <w:pPr>
        <w:spacing w:after="0" w:line="240" w:lineRule="auto"/>
        <w:ind w:left="-1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A0" w:rsidRPr="00782600" w:rsidRDefault="001C25A0" w:rsidP="001C25A0">
      <w:pPr>
        <w:spacing w:after="0" w:line="240" w:lineRule="auto"/>
        <w:ind w:left="-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Достоверность</w:t>
      </w:r>
      <w:r w:rsidRPr="0078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(в том числе документов), представленной в </w:t>
      </w:r>
      <w:r w:rsidRPr="00782600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составе</w:t>
      </w: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отборе, подтверждаю.</w:t>
      </w:r>
    </w:p>
    <w:p w:rsidR="001C25A0" w:rsidRPr="00782600" w:rsidRDefault="001C25A0" w:rsidP="001C25A0">
      <w:pPr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Courier New" w:hAnsi="Times New Roman" w:cs="Times New Roman"/>
          <w:sz w:val="24"/>
          <w:szCs w:val="24"/>
          <w:lang w:eastAsia="ru-RU"/>
        </w:rPr>
        <w:t>С</w:t>
      </w: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отбора и предоставления субсидии на финансовое обеспечение затрат ознакомлен и согласен.</w:t>
      </w:r>
    </w:p>
    <w:p w:rsidR="001C25A0" w:rsidRPr="00782600" w:rsidRDefault="001C25A0" w:rsidP="001C25A0">
      <w:pPr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A0" w:rsidRPr="00782600" w:rsidRDefault="001C25A0" w:rsidP="001C25A0">
      <w:pPr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A0" w:rsidRPr="00782600" w:rsidRDefault="001C25A0" w:rsidP="001C25A0">
      <w:pPr>
        <w:autoSpaceDE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____________________________________</w:t>
      </w: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C25A0" w:rsidRPr="00782600" w:rsidTr="009B7B4C">
        <w:tc>
          <w:tcPr>
            <w:tcW w:w="4819" w:type="dxa"/>
            <w:hideMark/>
          </w:tcPr>
          <w:p w:rsidR="001C25A0" w:rsidRPr="00782600" w:rsidRDefault="001C25A0" w:rsidP="009B7B4C">
            <w:pPr>
              <w:autoSpaceDE w:val="0"/>
              <w:snapToGrid w:val="0"/>
              <w:spacing w:after="0" w:line="240" w:lineRule="auto"/>
              <w:ind w:left="5" w:right="329"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82600">
              <w:rPr>
                <w:rFonts w:ascii="Times New Roman" w:eastAsia="Courier New" w:hAnsi="Times New Roman" w:cs="Times New Roman"/>
                <w:sz w:val="18"/>
                <w:szCs w:val="24"/>
                <w:lang w:eastAsia="ru-RU"/>
              </w:rPr>
              <w:t>(наименование</w:t>
            </w:r>
            <w:r w:rsidRPr="0078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должности руководителя общественной организации)</w:t>
            </w:r>
          </w:p>
        </w:tc>
        <w:tc>
          <w:tcPr>
            <w:tcW w:w="4820" w:type="dxa"/>
            <w:hideMark/>
          </w:tcPr>
          <w:p w:rsidR="001C25A0" w:rsidRPr="00782600" w:rsidRDefault="001C25A0" w:rsidP="009B7B4C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8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</w:t>
            </w:r>
            <w:r w:rsidRPr="00782600">
              <w:rPr>
                <w:rFonts w:ascii="Times New Roman" w:eastAsia="Courier New" w:hAnsi="Times New Roman" w:cs="Times New Roman"/>
                <w:sz w:val="18"/>
                <w:szCs w:val="24"/>
                <w:lang w:eastAsia="ru-RU"/>
              </w:rPr>
              <w:t>(подпись)</w:t>
            </w:r>
            <w:r w:rsidRPr="0078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(Ф.И.О.)</w:t>
            </w:r>
          </w:p>
        </w:tc>
      </w:tr>
    </w:tbl>
    <w:p w:rsidR="001C25A0" w:rsidRPr="00782600" w:rsidRDefault="001C25A0" w:rsidP="001C25A0">
      <w:pPr>
        <w:autoSpaceDE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5A0" w:rsidRPr="00782600" w:rsidRDefault="001C25A0" w:rsidP="001C25A0">
      <w:pPr>
        <w:autoSpaceDE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600">
        <w:rPr>
          <w:rFonts w:ascii="Times New Roman" w:eastAsia="Courier New" w:hAnsi="Times New Roman" w:cs="Times New Roman"/>
          <w:sz w:val="24"/>
          <w:szCs w:val="28"/>
          <w:lang w:eastAsia="ru-RU"/>
        </w:rPr>
        <w:t>«___»</w:t>
      </w:r>
      <w:r w:rsidRPr="007826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 20___ г.    </w:t>
      </w:r>
    </w:p>
    <w:p w:rsidR="001C25A0" w:rsidRPr="00782600" w:rsidRDefault="001C25A0" w:rsidP="001C25A0">
      <w:pPr>
        <w:autoSpaceDE w:val="0"/>
        <w:spacing w:after="0" w:line="240" w:lineRule="auto"/>
        <w:ind w:firstLine="0"/>
        <w:rPr>
          <w:rFonts w:ascii="Times New Roman" w:eastAsia="Courier New" w:hAnsi="Times New Roman" w:cs="Times New Roman"/>
          <w:sz w:val="24"/>
          <w:szCs w:val="28"/>
          <w:lang w:eastAsia="ru-RU"/>
        </w:rPr>
      </w:pPr>
    </w:p>
    <w:p w:rsidR="001C25A0" w:rsidRPr="00782600" w:rsidRDefault="001C25A0" w:rsidP="001C25A0">
      <w:pPr>
        <w:autoSpaceDE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82600">
        <w:rPr>
          <w:rFonts w:ascii="Times New Roman" w:eastAsia="Courier New" w:hAnsi="Times New Roman" w:cs="Times New Roman"/>
          <w:sz w:val="20"/>
          <w:szCs w:val="28"/>
          <w:lang w:eastAsia="ru-RU"/>
        </w:rPr>
        <w:t>М.П.</w:t>
      </w:r>
    </w:p>
    <w:p w:rsidR="001C25A0" w:rsidRDefault="001C25A0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4D" w:rsidRDefault="00D6374D" w:rsidP="001C2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A0" w:rsidRPr="00782600" w:rsidRDefault="001C25A0" w:rsidP="001C25A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18"/>
          <w:szCs w:val="20"/>
          <w:lang w:eastAsia="ru-RU"/>
        </w:rPr>
      </w:pP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tLeast"/>
        <w:ind w:left="48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7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tLeast"/>
        <w:ind w:left="4820" w:firstLine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</w:t>
      </w:r>
      <w:r w:rsidR="00573D56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(Ф.И.О)</w:t>
      </w:r>
      <w:bookmarkStart w:id="2" w:name="_GoBack"/>
      <w:bookmarkEnd w:id="2"/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tLeast"/>
        <w:ind w:left="48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tLeast"/>
        <w:ind w:left="4820" w:firstLine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</w:t>
      </w:r>
      <w:r w:rsidRPr="00782600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регистрации)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tLeast"/>
        <w:ind w:left="48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tLeast"/>
        <w:ind w:left="4820" w:firstLine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</w:t>
      </w:r>
      <w:r w:rsidRPr="00782600">
        <w:rPr>
          <w:rFonts w:ascii="Times New Roman" w:eastAsia="Times New Roman" w:hAnsi="Times New Roman" w:cs="Times New Roman"/>
          <w:sz w:val="18"/>
          <w:szCs w:val="24"/>
          <w:lang w:eastAsia="ru-RU"/>
        </w:rPr>
        <w:t>(паспортные данные)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tLeast"/>
        <w:ind w:left="48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</w:t>
      </w:r>
      <w:r w:rsidR="00573D5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8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782600">
        <w:rPr>
          <w:rFonts w:ascii="Times New Roman" w:eastAsia="Times New Roman" w:hAnsi="Times New Roman" w:cs="Times New Roman"/>
          <w:sz w:val="18"/>
          <w:szCs w:val="24"/>
          <w:lang w:eastAsia="ru-RU"/>
        </w:rPr>
        <w:t>кем и когда выдан)</w:t>
      </w:r>
    </w:p>
    <w:p w:rsidR="001C25A0" w:rsidRPr="00782600" w:rsidRDefault="001C25A0" w:rsidP="001C25A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82600">
        <w:rPr>
          <w:rFonts w:ascii="Times New Roman" w:eastAsia="Times New Roman" w:hAnsi="Times New Roman" w:cs="Times New Roman"/>
          <w:bCs/>
          <w:color w:val="26282F"/>
          <w:sz w:val="24"/>
          <w:szCs w:val="26"/>
          <w:lang w:eastAsia="ru-RU"/>
        </w:rPr>
        <w:t>Согласие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82600">
        <w:rPr>
          <w:rFonts w:ascii="Times New Roman" w:eastAsia="Times New Roman" w:hAnsi="Times New Roman" w:cs="Times New Roman"/>
          <w:bCs/>
          <w:color w:val="26282F"/>
          <w:sz w:val="24"/>
          <w:szCs w:val="26"/>
          <w:lang w:eastAsia="ru-RU"/>
        </w:rPr>
        <w:t>на обработку персональных данных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6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782600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____________,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7A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8" w:history="1">
        <w:r w:rsidRPr="007A4D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 Управлению социальной защиты населения администрации Озерского городского округа Челябинской области </w:t>
      </w:r>
      <w:r w:rsidR="0035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7422014036, КПП 745301001, 456781, г. Озерск Челябинской области, </w:t>
      </w:r>
      <w:r w:rsidR="0035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Космонавтов, д. 20).</w:t>
      </w:r>
    </w:p>
    <w:p w:rsidR="003522F5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обработки моих персональных данных является осуществление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затрат, предусмотренных муниципальной программой </w:t>
      </w:r>
      <w:r w:rsidR="003522F5" w:rsidRPr="00107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ориентированных некоммерческих организаций Озерского г</w:t>
      </w:r>
      <w:r w:rsidR="0035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округа».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подписания. Персональные данные являются конфиденциальной информацией и не могут быть использованы лицами, имеющими доступ к обрабатываемым персональным данным, в личных целях.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документа. Об ответственности                                за достоверность представленных сведений предупрежден(а).</w:t>
      </w: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 до его отзыва субъектом персональных данных путем письменного обращения.</w:t>
      </w:r>
    </w:p>
    <w:p w:rsidR="001C25A0" w:rsidRPr="00782600" w:rsidRDefault="001C25A0" w:rsidP="001C25A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A0" w:rsidRPr="00782600" w:rsidRDefault="001C25A0" w:rsidP="001C25A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A0" w:rsidRPr="00782600" w:rsidRDefault="001C25A0" w:rsidP="001C25A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202__ г.          ____________ ______________________</w:t>
      </w:r>
    </w:p>
    <w:p w:rsidR="001C25A0" w:rsidRPr="00782600" w:rsidRDefault="001C25A0" w:rsidP="001C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826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                   </w:t>
      </w:r>
      <w:r w:rsidRPr="007826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1C25A0" w:rsidRPr="00782600" w:rsidRDefault="001C25A0" w:rsidP="001C25A0">
      <w:pPr>
        <w:suppressLineNumbers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5A0" w:rsidRDefault="001C25A0" w:rsidP="001C25A0">
      <w:pPr>
        <w:spacing w:after="0" w:line="240" w:lineRule="auto"/>
        <w:ind w:left="-12" w:firstLine="0"/>
        <w:jc w:val="center"/>
      </w:pPr>
    </w:p>
    <w:p w:rsidR="00887518" w:rsidRDefault="00887518"/>
    <w:sectPr w:rsidR="0088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09B5"/>
    <w:multiLevelType w:val="hybridMultilevel"/>
    <w:tmpl w:val="03E85100"/>
    <w:lvl w:ilvl="0" w:tplc="2FDC7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0"/>
    <w:rsid w:val="00005A7E"/>
    <w:rsid w:val="001608C4"/>
    <w:rsid w:val="001A25DC"/>
    <w:rsid w:val="001B3519"/>
    <w:rsid w:val="001C25A0"/>
    <w:rsid w:val="00347F59"/>
    <w:rsid w:val="003522F5"/>
    <w:rsid w:val="003863D9"/>
    <w:rsid w:val="004342BE"/>
    <w:rsid w:val="004F2B23"/>
    <w:rsid w:val="00573D56"/>
    <w:rsid w:val="00680D87"/>
    <w:rsid w:val="00734FF3"/>
    <w:rsid w:val="007418AC"/>
    <w:rsid w:val="007A4DB2"/>
    <w:rsid w:val="007D4F13"/>
    <w:rsid w:val="008040DF"/>
    <w:rsid w:val="00887518"/>
    <w:rsid w:val="008D7B83"/>
    <w:rsid w:val="009A5831"/>
    <w:rsid w:val="00B80A36"/>
    <w:rsid w:val="00C91DB9"/>
    <w:rsid w:val="00D6374D"/>
    <w:rsid w:val="00DD287C"/>
    <w:rsid w:val="00DF1662"/>
    <w:rsid w:val="00E144C8"/>
    <w:rsid w:val="00EC7190"/>
    <w:rsid w:val="00EE42B2"/>
    <w:rsid w:val="00FB67DB"/>
    <w:rsid w:val="00FC7A82"/>
    <w:rsid w:val="00FD3781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410"/>
  <w15:chartTrackingRefBased/>
  <w15:docId w15:val="{316D4454-3824-42F3-A73C-15F66D8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0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skadm.ru/about/unit/social/konkursnyy-otbor-na-predostavlenie-subsidiy-sotsialno-orientirovannym-nekommercheskim-organizatsiyam.php?clear_cache=Y" TargetMode="External"/><Relationship Id="rId5" Type="http://schemas.openxmlformats.org/officeDocument/2006/relationships/hyperlink" Target="mailto:ksz@ozersk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U_UR_SEA</dc:creator>
  <cp:keywords/>
  <dc:description/>
  <cp:lastModifiedBy>U_OO_RTA</cp:lastModifiedBy>
  <cp:revision>29</cp:revision>
  <dcterms:created xsi:type="dcterms:W3CDTF">2024-01-18T09:20:00Z</dcterms:created>
  <dcterms:modified xsi:type="dcterms:W3CDTF">2024-01-23T04:00:00Z</dcterms:modified>
</cp:coreProperties>
</file>